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D6C0" w14:textId="77777777" w:rsidR="0060110D" w:rsidRDefault="0060110D">
      <w:pPr>
        <w:pStyle w:val="Default"/>
        <w:spacing w:before="0" w:line="240" w:lineRule="auto"/>
        <w:rPr>
          <w:rFonts w:ascii="Arial" w:hAnsi="Arial"/>
          <w:sz w:val="28"/>
          <w:szCs w:val="28"/>
        </w:rPr>
      </w:pPr>
    </w:p>
    <w:p w14:paraId="29314337" w14:textId="77777777" w:rsidR="0060110D" w:rsidRDefault="002C0DAF">
      <w:pPr>
        <w:pStyle w:val="Default"/>
        <w:spacing w:before="0" w:line="240" w:lineRule="auto"/>
        <w:jc w:val="center"/>
        <w:rPr>
          <w:rFonts w:ascii="Arial" w:eastAsia="Arial" w:hAnsi="Arial" w:cs="Arial"/>
          <w:b/>
          <w:bCs/>
          <w:sz w:val="22"/>
          <w:szCs w:val="22"/>
        </w:rPr>
      </w:pPr>
      <w:r>
        <w:rPr>
          <w:rFonts w:ascii="Arial" w:hAnsi="Arial"/>
          <w:b/>
          <w:bCs/>
          <w:sz w:val="22"/>
          <w:szCs w:val="22"/>
          <w:lang w:val="en-US"/>
        </w:rPr>
        <w:t>SODC Monthly Report - June 2022</w:t>
      </w:r>
    </w:p>
    <w:p w14:paraId="61EC690C" w14:textId="77777777" w:rsidR="0060110D" w:rsidRDefault="002C0DAF">
      <w:pPr>
        <w:pStyle w:val="Default"/>
        <w:spacing w:before="0" w:line="240" w:lineRule="auto"/>
        <w:jc w:val="center"/>
        <w:rPr>
          <w:rFonts w:ascii="Arial" w:eastAsia="Arial" w:hAnsi="Arial" w:cs="Arial"/>
          <w:b/>
          <w:bCs/>
          <w:sz w:val="22"/>
          <w:szCs w:val="22"/>
        </w:rPr>
      </w:pPr>
      <w:r>
        <w:rPr>
          <w:rFonts w:ascii="Arial" w:hAnsi="Arial"/>
          <w:b/>
          <w:bCs/>
          <w:sz w:val="22"/>
          <w:szCs w:val="22"/>
          <w:lang w:val="en-US"/>
        </w:rPr>
        <w:t xml:space="preserve">Cllr Caroline Newton, </w:t>
      </w:r>
      <w:proofErr w:type="spellStart"/>
      <w:r>
        <w:rPr>
          <w:rFonts w:ascii="Arial" w:hAnsi="Arial"/>
          <w:b/>
          <w:bCs/>
          <w:sz w:val="22"/>
          <w:szCs w:val="22"/>
          <w:lang w:val="en-US"/>
        </w:rPr>
        <w:t>Haseley</w:t>
      </w:r>
      <w:proofErr w:type="spellEnd"/>
      <w:r>
        <w:rPr>
          <w:rFonts w:ascii="Arial" w:hAnsi="Arial"/>
          <w:b/>
          <w:bCs/>
          <w:sz w:val="22"/>
          <w:szCs w:val="22"/>
          <w:lang w:val="en-US"/>
        </w:rPr>
        <w:t xml:space="preserve"> Brook Ward</w:t>
      </w:r>
    </w:p>
    <w:p w14:paraId="4586E9EB" w14:textId="77777777" w:rsidR="0060110D" w:rsidRDefault="0060110D">
      <w:pPr>
        <w:pStyle w:val="Default"/>
        <w:spacing w:before="0" w:line="240" w:lineRule="auto"/>
        <w:rPr>
          <w:rFonts w:ascii="Arial" w:eastAsia="Arial" w:hAnsi="Arial" w:cs="Arial"/>
          <w:sz w:val="28"/>
          <w:szCs w:val="28"/>
        </w:rPr>
      </w:pPr>
    </w:p>
    <w:p w14:paraId="63C8C02C" w14:textId="77777777" w:rsidR="0060110D" w:rsidRDefault="0060110D">
      <w:pPr>
        <w:pStyle w:val="Default"/>
        <w:spacing w:before="0" w:line="240" w:lineRule="auto"/>
        <w:rPr>
          <w:rFonts w:ascii="Arial" w:eastAsia="Arial" w:hAnsi="Arial" w:cs="Arial"/>
          <w:sz w:val="28"/>
          <w:szCs w:val="28"/>
        </w:rPr>
      </w:pPr>
    </w:p>
    <w:p w14:paraId="27815617" w14:textId="77777777" w:rsidR="0060110D" w:rsidRDefault="0060110D">
      <w:pPr>
        <w:pStyle w:val="Default"/>
        <w:spacing w:before="0" w:line="240" w:lineRule="auto"/>
        <w:rPr>
          <w:rFonts w:ascii="Arial" w:eastAsia="Arial" w:hAnsi="Arial" w:cs="Arial"/>
          <w:sz w:val="28"/>
          <w:szCs w:val="28"/>
        </w:rPr>
      </w:pPr>
    </w:p>
    <w:p w14:paraId="27D07EBB" w14:textId="77777777" w:rsidR="0060110D" w:rsidRDefault="002C0DAF">
      <w:pPr>
        <w:pStyle w:val="Default"/>
        <w:spacing w:before="0" w:line="240" w:lineRule="auto"/>
        <w:rPr>
          <w:rFonts w:ascii="Arial" w:eastAsia="Arial" w:hAnsi="Arial" w:cs="Arial"/>
          <w:b/>
          <w:bCs/>
          <w:sz w:val="20"/>
          <w:szCs w:val="20"/>
          <w:u w:color="000000"/>
          <w:lang w:val="en-US"/>
        </w:rPr>
      </w:pPr>
      <w:r>
        <w:rPr>
          <w:rFonts w:ascii="Arial" w:hAnsi="Arial"/>
          <w:b/>
          <w:bCs/>
          <w:sz w:val="20"/>
          <w:szCs w:val="20"/>
          <w:u w:color="000000"/>
          <w:lang w:val="en-US"/>
        </w:rPr>
        <w:t>Joint Local Plan</w:t>
      </w:r>
    </w:p>
    <w:p w14:paraId="049AA5A0" w14:textId="77777777" w:rsidR="0060110D" w:rsidRDefault="002C0DAF">
      <w:pPr>
        <w:pStyle w:val="Default"/>
        <w:spacing w:before="0" w:line="240" w:lineRule="auto"/>
        <w:rPr>
          <w:rFonts w:ascii="Arial" w:eastAsia="Arial" w:hAnsi="Arial" w:cs="Arial"/>
          <w:sz w:val="20"/>
          <w:szCs w:val="20"/>
          <w:u w:color="666666"/>
          <w:lang w:val="en-US"/>
        </w:rPr>
      </w:pPr>
      <w:r>
        <w:rPr>
          <w:rFonts w:ascii="Arial" w:hAnsi="Arial"/>
          <w:sz w:val="20"/>
          <w:szCs w:val="20"/>
          <w:u w:color="666666"/>
          <w:lang w:val="en-US"/>
        </w:rPr>
        <w:t xml:space="preserve">The public consultation on the key issues relating to the Local Plan (being created jointly with Vale of the White Horse District Council (VWHDC)) closed on 23 </w:t>
      </w:r>
      <w:r>
        <w:rPr>
          <w:rFonts w:ascii="Arial" w:hAnsi="Arial"/>
          <w:sz w:val="20"/>
          <w:szCs w:val="20"/>
          <w:u w:color="666666"/>
          <w:lang w:val="en-US"/>
        </w:rPr>
        <w:t xml:space="preserve">June, and officers have started </w:t>
      </w:r>
      <w:proofErr w:type="spellStart"/>
      <w:r>
        <w:rPr>
          <w:rFonts w:ascii="Arial" w:hAnsi="Arial"/>
          <w:sz w:val="20"/>
          <w:szCs w:val="20"/>
          <w:u w:color="666666"/>
          <w:lang w:val="en-US"/>
        </w:rPr>
        <w:t>analysing</w:t>
      </w:r>
      <w:proofErr w:type="spellEnd"/>
      <w:r>
        <w:rPr>
          <w:rFonts w:ascii="Arial" w:hAnsi="Arial"/>
          <w:sz w:val="20"/>
          <w:szCs w:val="20"/>
          <w:u w:color="666666"/>
          <w:lang w:val="en-US"/>
        </w:rPr>
        <w:t xml:space="preserve"> responses.</w:t>
      </w:r>
    </w:p>
    <w:p w14:paraId="3BD0AEDC" w14:textId="77777777" w:rsidR="0060110D" w:rsidRDefault="0060110D">
      <w:pPr>
        <w:pStyle w:val="Default"/>
        <w:spacing w:before="0" w:line="240" w:lineRule="auto"/>
        <w:rPr>
          <w:rFonts w:ascii="Arial" w:eastAsia="Arial" w:hAnsi="Arial" w:cs="Arial"/>
          <w:sz w:val="20"/>
          <w:szCs w:val="20"/>
          <w:u w:color="666666"/>
          <w:lang w:val="en-US"/>
        </w:rPr>
      </w:pPr>
    </w:p>
    <w:p w14:paraId="4FD10F8E" w14:textId="77777777" w:rsidR="0060110D" w:rsidRDefault="002C0DAF">
      <w:pPr>
        <w:pStyle w:val="Default"/>
        <w:spacing w:before="0" w:line="240" w:lineRule="auto"/>
        <w:rPr>
          <w:rFonts w:ascii="Arial" w:eastAsia="Arial" w:hAnsi="Arial" w:cs="Arial"/>
          <w:b/>
          <w:bCs/>
          <w:sz w:val="20"/>
          <w:szCs w:val="20"/>
          <w:u w:color="666666"/>
          <w:lang w:val="en-US"/>
        </w:rPr>
      </w:pPr>
      <w:r>
        <w:rPr>
          <w:rFonts w:ascii="Arial" w:hAnsi="Arial"/>
          <w:b/>
          <w:bCs/>
          <w:sz w:val="20"/>
          <w:szCs w:val="20"/>
          <w:u w:color="666666"/>
          <w:lang w:val="en-US"/>
        </w:rPr>
        <w:t>SODC Headquarters</w:t>
      </w:r>
    </w:p>
    <w:p w14:paraId="224E8810" w14:textId="77777777" w:rsidR="0060110D" w:rsidRDefault="002C0DAF">
      <w:pPr>
        <w:pStyle w:val="Default"/>
        <w:spacing w:before="0" w:line="240" w:lineRule="auto"/>
        <w:rPr>
          <w:rFonts w:ascii="Arial" w:eastAsia="Arial" w:hAnsi="Arial" w:cs="Arial"/>
          <w:sz w:val="20"/>
          <w:szCs w:val="20"/>
          <w:u w:color="666666"/>
          <w:lang w:val="en-US"/>
        </w:rPr>
      </w:pPr>
      <w:r>
        <w:rPr>
          <w:rFonts w:ascii="Arial" w:eastAsia="Arial" w:hAnsi="Arial" w:cs="Arial"/>
          <w:b/>
          <w:bCs/>
          <w:sz w:val="20"/>
          <w:szCs w:val="20"/>
          <w:u w:color="666666"/>
          <w:lang w:val="en-US"/>
        </w:rPr>
        <w:br/>
      </w:r>
      <w:r>
        <w:rPr>
          <w:rFonts w:ascii="Arial" w:hAnsi="Arial"/>
          <w:sz w:val="20"/>
          <w:szCs w:val="20"/>
          <w:u w:color="666666"/>
          <w:lang w:val="en-US"/>
        </w:rPr>
        <w:t xml:space="preserve">SODC and VWHDC are due to leave their temporary HQ in Milton Park, </w:t>
      </w:r>
      <w:proofErr w:type="spellStart"/>
      <w:r>
        <w:rPr>
          <w:rFonts w:ascii="Arial" w:hAnsi="Arial"/>
          <w:sz w:val="20"/>
          <w:szCs w:val="20"/>
          <w:u w:color="666666"/>
          <w:lang w:val="en-US"/>
        </w:rPr>
        <w:t>Didcot</w:t>
      </w:r>
      <w:proofErr w:type="spellEnd"/>
      <w:r>
        <w:rPr>
          <w:rFonts w:ascii="Arial" w:hAnsi="Arial"/>
          <w:sz w:val="20"/>
          <w:szCs w:val="20"/>
          <w:u w:color="666666"/>
          <w:lang w:val="en-US"/>
        </w:rPr>
        <w:t xml:space="preserve"> at the end of the summer. They will move to an interim home in Abbey House, Abingdon (property belonging to V</w:t>
      </w:r>
      <w:r>
        <w:rPr>
          <w:rFonts w:ascii="Arial" w:hAnsi="Arial"/>
          <w:sz w:val="20"/>
          <w:szCs w:val="20"/>
          <w:u w:color="666666"/>
          <w:lang w:val="en-US"/>
        </w:rPr>
        <w:t xml:space="preserve">WHDC) before moving to their forever home in </w:t>
      </w:r>
      <w:proofErr w:type="spellStart"/>
      <w:r>
        <w:rPr>
          <w:rFonts w:ascii="Arial" w:hAnsi="Arial"/>
          <w:sz w:val="20"/>
          <w:szCs w:val="20"/>
          <w:u w:color="666666"/>
          <w:lang w:val="en-US"/>
        </w:rPr>
        <w:t>Didcot</w:t>
      </w:r>
      <w:proofErr w:type="spellEnd"/>
      <w:r>
        <w:rPr>
          <w:rFonts w:ascii="Arial" w:hAnsi="Arial"/>
          <w:sz w:val="20"/>
          <w:szCs w:val="20"/>
          <w:u w:color="666666"/>
          <w:lang w:val="en-US"/>
        </w:rPr>
        <w:t xml:space="preserve"> - at the Gateway site - in due course. </w:t>
      </w:r>
    </w:p>
    <w:p w14:paraId="39C6A09C" w14:textId="77777777" w:rsidR="0060110D" w:rsidRDefault="0060110D">
      <w:pPr>
        <w:pStyle w:val="Default"/>
        <w:spacing w:before="0" w:line="240" w:lineRule="auto"/>
        <w:rPr>
          <w:rFonts w:ascii="Arial" w:eastAsia="Arial" w:hAnsi="Arial" w:cs="Arial"/>
          <w:b/>
          <w:bCs/>
          <w:sz w:val="20"/>
          <w:szCs w:val="20"/>
          <w:u w:color="666666"/>
          <w:lang w:val="en-US"/>
        </w:rPr>
      </w:pPr>
    </w:p>
    <w:p w14:paraId="140C4F80" w14:textId="77777777" w:rsidR="0060110D" w:rsidRDefault="002C0DAF">
      <w:pPr>
        <w:pStyle w:val="Default"/>
        <w:spacing w:before="0" w:line="240" w:lineRule="auto"/>
        <w:rPr>
          <w:rFonts w:ascii="Arial" w:eastAsia="Arial" w:hAnsi="Arial" w:cs="Arial"/>
          <w:b/>
          <w:bCs/>
          <w:sz w:val="20"/>
          <w:szCs w:val="20"/>
          <w:u w:color="666666"/>
          <w:lang w:val="en-US"/>
        </w:rPr>
      </w:pPr>
      <w:r>
        <w:rPr>
          <w:rFonts w:ascii="Arial" w:hAnsi="Arial"/>
          <w:b/>
          <w:bCs/>
          <w:sz w:val="20"/>
          <w:szCs w:val="20"/>
          <w:u w:color="666666"/>
          <w:lang w:val="en-US"/>
        </w:rPr>
        <w:t>Refugees</w:t>
      </w:r>
    </w:p>
    <w:p w14:paraId="37529846" w14:textId="77777777" w:rsidR="0060110D" w:rsidRDefault="0060110D">
      <w:pPr>
        <w:pStyle w:val="Default"/>
        <w:spacing w:before="0" w:line="240" w:lineRule="auto"/>
        <w:rPr>
          <w:rFonts w:ascii="Arial" w:eastAsia="Arial" w:hAnsi="Arial" w:cs="Arial"/>
          <w:b/>
          <w:bCs/>
          <w:sz w:val="20"/>
          <w:szCs w:val="20"/>
          <w:u w:color="666666"/>
          <w:lang w:val="en-US"/>
        </w:rPr>
      </w:pPr>
    </w:p>
    <w:p w14:paraId="76A886CC" w14:textId="77777777" w:rsidR="0060110D" w:rsidRDefault="002C0DAF">
      <w:pPr>
        <w:pStyle w:val="Default"/>
        <w:spacing w:before="0" w:line="240" w:lineRule="auto"/>
        <w:rPr>
          <w:rFonts w:ascii="Arial" w:eastAsia="Arial" w:hAnsi="Arial" w:cs="Arial"/>
          <w:sz w:val="20"/>
          <w:szCs w:val="20"/>
          <w:u w:color="666666"/>
          <w:lang w:val="en-US"/>
        </w:rPr>
      </w:pPr>
      <w:r>
        <w:rPr>
          <w:rFonts w:ascii="Arial" w:hAnsi="Arial"/>
          <w:sz w:val="20"/>
          <w:szCs w:val="20"/>
          <w:u w:color="666666"/>
          <w:lang w:val="en-US"/>
        </w:rPr>
        <w:t xml:space="preserve">Two Afghan families have been resettled in this district under the UK Resettlement </w:t>
      </w:r>
      <w:proofErr w:type="gramStart"/>
      <w:r>
        <w:rPr>
          <w:rFonts w:ascii="Arial" w:hAnsi="Arial"/>
          <w:sz w:val="20"/>
          <w:szCs w:val="20"/>
          <w:u w:color="666666"/>
          <w:lang w:val="en-US"/>
        </w:rPr>
        <w:t>scheme, and</w:t>
      </w:r>
      <w:proofErr w:type="gramEnd"/>
      <w:r>
        <w:rPr>
          <w:rFonts w:ascii="Arial" w:hAnsi="Arial"/>
          <w:sz w:val="20"/>
          <w:szCs w:val="20"/>
          <w:u w:color="666666"/>
          <w:lang w:val="en-US"/>
        </w:rPr>
        <w:t xml:space="preserve"> are receiving intensive support from council officers. </w:t>
      </w:r>
    </w:p>
    <w:p w14:paraId="3A484A5A" w14:textId="77777777" w:rsidR="0060110D" w:rsidRDefault="0060110D">
      <w:pPr>
        <w:pStyle w:val="Default"/>
        <w:spacing w:before="0" w:line="240" w:lineRule="auto"/>
        <w:rPr>
          <w:rFonts w:ascii="Arial" w:eastAsia="Arial" w:hAnsi="Arial" w:cs="Arial"/>
          <w:sz w:val="20"/>
          <w:szCs w:val="20"/>
          <w:u w:color="666666"/>
          <w:lang w:val="en-US"/>
        </w:rPr>
      </w:pPr>
    </w:p>
    <w:p w14:paraId="02593D7C" w14:textId="77777777" w:rsidR="0060110D" w:rsidRDefault="002C0DAF">
      <w:pPr>
        <w:pStyle w:val="Default"/>
        <w:spacing w:before="0" w:line="240" w:lineRule="auto"/>
        <w:rPr>
          <w:rFonts w:ascii="Arial" w:eastAsia="Arial" w:hAnsi="Arial" w:cs="Arial"/>
          <w:sz w:val="20"/>
          <w:szCs w:val="20"/>
          <w:u w:color="666666"/>
          <w:lang w:val="en-US"/>
        </w:rPr>
      </w:pPr>
      <w:r>
        <w:rPr>
          <w:rFonts w:ascii="Arial" w:hAnsi="Arial"/>
          <w:sz w:val="20"/>
          <w:szCs w:val="20"/>
          <w:u w:color="666666"/>
          <w:lang w:val="en-US"/>
        </w:rPr>
        <w:t>The housing team continue to support Ukrainian refugee households into their host accommodation. SODC ha</w:t>
      </w:r>
      <w:r>
        <w:rPr>
          <w:rFonts w:ascii="Arial" w:hAnsi="Arial"/>
          <w:sz w:val="20"/>
          <w:szCs w:val="20"/>
          <w:u w:color="666666"/>
          <w:lang w:val="en-US"/>
        </w:rPr>
        <w:t xml:space="preserve">s undertaken 230 accommodation checks in South </w:t>
      </w:r>
      <w:proofErr w:type="spellStart"/>
      <w:r>
        <w:rPr>
          <w:rFonts w:ascii="Arial" w:hAnsi="Arial"/>
          <w:sz w:val="20"/>
          <w:szCs w:val="20"/>
          <w:u w:color="666666"/>
          <w:lang w:val="en-US"/>
        </w:rPr>
        <w:t>Oxfordshire</w:t>
      </w:r>
      <w:proofErr w:type="spellEnd"/>
      <w:r>
        <w:rPr>
          <w:rFonts w:ascii="Arial" w:hAnsi="Arial"/>
          <w:sz w:val="20"/>
          <w:szCs w:val="20"/>
          <w:u w:color="666666"/>
          <w:lang w:val="en-US"/>
        </w:rPr>
        <w:t xml:space="preserve">. </w:t>
      </w:r>
    </w:p>
    <w:p w14:paraId="349868E8" w14:textId="77777777" w:rsidR="0060110D" w:rsidRDefault="0060110D">
      <w:pPr>
        <w:pStyle w:val="Heading2"/>
        <w:keepNext w:val="0"/>
        <w:rPr>
          <w:rFonts w:ascii="Arial" w:eastAsia="Arial" w:hAnsi="Arial" w:cs="Arial"/>
          <w:sz w:val="20"/>
          <w:szCs w:val="20"/>
          <w:u w:color="000000"/>
        </w:rPr>
      </w:pPr>
    </w:p>
    <w:p w14:paraId="55FD623A" w14:textId="77777777" w:rsidR="0060110D" w:rsidRDefault="002C0DAF">
      <w:pPr>
        <w:pStyle w:val="Default"/>
        <w:spacing w:before="0" w:line="240" w:lineRule="auto"/>
        <w:rPr>
          <w:rFonts w:ascii="Arial" w:eastAsia="Arial" w:hAnsi="Arial" w:cs="Arial"/>
          <w:sz w:val="20"/>
          <w:szCs w:val="20"/>
          <w:u w:color="000000"/>
        </w:rPr>
      </w:pPr>
      <w:r>
        <w:rPr>
          <w:rFonts w:ascii="Arial" w:hAnsi="Arial"/>
          <w:sz w:val="20"/>
          <w:szCs w:val="20"/>
          <w:u w:color="000000"/>
          <w:lang w:val="en-US"/>
        </w:rPr>
        <w:t>We</w:t>
      </w:r>
      <w:r>
        <w:rPr>
          <w:rFonts w:ascii="Arial" w:hAnsi="Arial"/>
          <w:sz w:val="20"/>
          <w:szCs w:val="20"/>
          <w:u w:color="000000"/>
          <w:lang w:val="en-US"/>
        </w:rPr>
        <w:t>’</w:t>
      </w:r>
      <w:r>
        <w:rPr>
          <w:rFonts w:ascii="Arial" w:hAnsi="Arial"/>
          <w:sz w:val="20"/>
          <w:szCs w:val="20"/>
          <w:u w:color="000000"/>
          <w:lang w:val="en-US"/>
        </w:rPr>
        <w:t>ve just appointed two new Community Liaison Officers (CLOs) who will work with Asylum Welcome and help community groups to support Ukrainian guests who are settling in households across our d</w:t>
      </w:r>
      <w:r>
        <w:rPr>
          <w:rFonts w:ascii="Arial" w:hAnsi="Arial"/>
          <w:sz w:val="20"/>
          <w:szCs w:val="20"/>
          <w:u w:color="000000"/>
          <w:lang w:val="en-US"/>
        </w:rPr>
        <w:t>istricts.</w:t>
      </w:r>
      <w:r>
        <w:rPr>
          <w:rFonts w:ascii="Arial" w:hAnsi="Arial"/>
          <w:sz w:val="20"/>
          <w:szCs w:val="20"/>
          <w:u w:color="000000"/>
          <w:lang w:val="en-US"/>
        </w:rPr>
        <w:t> </w:t>
      </w:r>
      <w:r>
        <w:rPr>
          <w:rFonts w:ascii="Arial" w:hAnsi="Arial"/>
          <w:sz w:val="20"/>
          <w:szCs w:val="20"/>
          <w:u w:color="000000"/>
          <w:lang w:val="en-US"/>
        </w:rPr>
        <w:t xml:space="preserve"> They will provide information, advice and guidance and liaise with local authority support teams across </w:t>
      </w:r>
      <w:proofErr w:type="spellStart"/>
      <w:r>
        <w:rPr>
          <w:rFonts w:ascii="Arial" w:hAnsi="Arial"/>
          <w:sz w:val="20"/>
          <w:szCs w:val="20"/>
          <w:u w:color="000000"/>
          <w:lang w:val="en-US"/>
        </w:rPr>
        <w:t>Oxfordshire</w:t>
      </w:r>
      <w:proofErr w:type="spellEnd"/>
      <w:r>
        <w:rPr>
          <w:rFonts w:ascii="Arial" w:hAnsi="Arial"/>
          <w:sz w:val="20"/>
          <w:szCs w:val="20"/>
          <w:u w:color="000000"/>
          <w:lang w:val="en-US"/>
        </w:rPr>
        <w:t>, to build a support framework for refugees that need it.</w:t>
      </w:r>
    </w:p>
    <w:p w14:paraId="74AE22A9" w14:textId="77777777" w:rsidR="0060110D" w:rsidRDefault="0060110D">
      <w:pPr>
        <w:pStyle w:val="Default"/>
        <w:spacing w:before="0" w:line="240" w:lineRule="auto"/>
        <w:jc w:val="both"/>
        <w:rPr>
          <w:rFonts w:ascii="Arial" w:eastAsia="Arial" w:hAnsi="Arial" w:cs="Arial"/>
          <w:sz w:val="20"/>
          <w:szCs w:val="20"/>
          <w:u w:color="000000"/>
        </w:rPr>
      </w:pPr>
    </w:p>
    <w:p w14:paraId="57749432" w14:textId="77777777" w:rsidR="0060110D" w:rsidRDefault="002C0DAF">
      <w:pPr>
        <w:pStyle w:val="Default"/>
        <w:spacing w:before="0" w:line="240" w:lineRule="auto"/>
        <w:jc w:val="both"/>
        <w:rPr>
          <w:rFonts w:ascii="Arial" w:eastAsia="Arial" w:hAnsi="Arial" w:cs="Arial"/>
          <w:b/>
          <w:bCs/>
          <w:sz w:val="20"/>
          <w:szCs w:val="20"/>
          <w:u w:color="000000"/>
        </w:rPr>
      </w:pPr>
      <w:r>
        <w:rPr>
          <w:rFonts w:ascii="Arial" w:hAnsi="Arial"/>
          <w:b/>
          <w:bCs/>
          <w:sz w:val="20"/>
          <w:szCs w:val="20"/>
          <w:u w:color="000000"/>
          <w:lang w:val="en-US"/>
        </w:rPr>
        <w:t>Government Cost-of-Living and COVID payments</w:t>
      </w:r>
    </w:p>
    <w:p w14:paraId="2E662419" w14:textId="77777777" w:rsidR="0060110D" w:rsidRDefault="0060110D">
      <w:pPr>
        <w:pStyle w:val="Default"/>
        <w:spacing w:before="0" w:line="240" w:lineRule="auto"/>
        <w:jc w:val="both"/>
        <w:rPr>
          <w:rFonts w:ascii="Arial" w:eastAsia="Arial" w:hAnsi="Arial" w:cs="Arial"/>
          <w:b/>
          <w:bCs/>
          <w:sz w:val="20"/>
          <w:szCs w:val="20"/>
          <w:u w:color="000000"/>
        </w:rPr>
      </w:pPr>
    </w:p>
    <w:p w14:paraId="1F839612" w14:textId="77777777" w:rsidR="0060110D" w:rsidRDefault="002C0DAF">
      <w:pPr>
        <w:pStyle w:val="Default"/>
        <w:spacing w:before="0" w:line="240" w:lineRule="auto"/>
        <w:jc w:val="both"/>
        <w:rPr>
          <w:rFonts w:ascii="Arial" w:eastAsia="Arial" w:hAnsi="Arial" w:cs="Arial"/>
          <w:sz w:val="20"/>
          <w:szCs w:val="20"/>
          <w:u w:color="000000"/>
        </w:rPr>
      </w:pPr>
      <w:r>
        <w:rPr>
          <w:rFonts w:ascii="Arial" w:hAnsi="Arial"/>
          <w:sz w:val="20"/>
          <w:szCs w:val="20"/>
          <w:u w:color="000000"/>
          <w:lang w:val="en-US"/>
        </w:rPr>
        <w:t>SODC has been responsible</w:t>
      </w:r>
      <w:r>
        <w:rPr>
          <w:rFonts w:ascii="Arial" w:hAnsi="Arial"/>
          <w:sz w:val="20"/>
          <w:szCs w:val="20"/>
          <w:u w:color="000000"/>
          <w:lang w:val="en-US"/>
        </w:rPr>
        <w:t xml:space="preserve"> for making payment of the Government</w:t>
      </w:r>
      <w:r>
        <w:rPr>
          <w:rFonts w:ascii="Arial" w:hAnsi="Arial"/>
          <w:sz w:val="20"/>
          <w:szCs w:val="20"/>
          <w:u w:color="000000"/>
          <w:lang w:val="en-US"/>
        </w:rPr>
        <w:t>’</w:t>
      </w:r>
      <w:r>
        <w:rPr>
          <w:rFonts w:ascii="Arial" w:hAnsi="Arial"/>
          <w:sz w:val="20"/>
          <w:szCs w:val="20"/>
          <w:u w:color="000000"/>
          <w:lang w:val="en-US"/>
        </w:rPr>
        <w:t xml:space="preserve">s </w:t>
      </w:r>
      <w:r>
        <w:rPr>
          <w:rFonts w:ascii="Arial" w:hAnsi="Arial"/>
          <w:sz w:val="20"/>
          <w:szCs w:val="20"/>
          <w:u w:color="000000"/>
          <w:lang w:val="en-US"/>
        </w:rPr>
        <w:t>£</w:t>
      </w:r>
      <w:r>
        <w:rPr>
          <w:rFonts w:ascii="Arial" w:hAnsi="Arial"/>
          <w:sz w:val="20"/>
          <w:szCs w:val="20"/>
          <w:u w:color="000000"/>
          <w:lang w:val="en-US"/>
        </w:rPr>
        <w:t xml:space="preserve">150 council tax energy rebate. About 40,000 households (council tax bands A-D) in this district are eligible, and it is anticipated that all will receive their payment by 4 July. The total dwelling count in South </w:t>
      </w:r>
      <w:proofErr w:type="spellStart"/>
      <w:r>
        <w:rPr>
          <w:rFonts w:ascii="Arial" w:hAnsi="Arial"/>
          <w:sz w:val="20"/>
          <w:szCs w:val="20"/>
          <w:u w:color="000000"/>
          <w:lang w:val="en-US"/>
        </w:rPr>
        <w:t>Ox</w:t>
      </w:r>
      <w:r>
        <w:rPr>
          <w:rFonts w:ascii="Arial" w:hAnsi="Arial"/>
          <w:sz w:val="20"/>
          <w:szCs w:val="20"/>
          <w:u w:color="000000"/>
          <w:lang w:val="en-US"/>
        </w:rPr>
        <w:t>fordshire</w:t>
      </w:r>
      <w:proofErr w:type="spellEnd"/>
      <w:r>
        <w:rPr>
          <w:rFonts w:ascii="Arial" w:hAnsi="Arial"/>
          <w:sz w:val="20"/>
          <w:szCs w:val="20"/>
          <w:u w:color="000000"/>
          <w:lang w:val="en-US"/>
        </w:rPr>
        <w:t xml:space="preserve"> District is 65,000.</w:t>
      </w:r>
    </w:p>
    <w:p w14:paraId="1620F2DA" w14:textId="77777777" w:rsidR="0060110D" w:rsidRDefault="0060110D">
      <w:pPr>
        <w:pStyle w:val="Default"/>
        <w:spacing w:before="0" w:line="240" w:lineRule="auto"/>
        <w:jc w:val="both"/>
        <w:rPr>
          <w:rFonts w:ascii="Arial" w:eastAsia="Arial" w:hAnsi="Arial" w:cs="Arial"/>
          <w:sz w:val="20"/>
          <w:szCs w:val="20"/>
          <w:u w:color="000000"/>
        </w:rPr>
      </w:pPr>
    </w:p>
    <w:p w14:paraId="09116586" w14:textId="77777777" w:rsidR="0060110D" w:rsidRDefault="002C0DAF">
      <w:pPr>
        <w:pStyle w:val="Default"/>
        <w:spacing w:before="0" w:line="240" w:lineRule="auto"/>
        <w:jc w:val="both"/>
        <w:rPr>
          <w:rFonts w:ascii="Arial" w:eastAsia="Arial" w:hAnsi="Arial" w:cs="Arial"/>
          <w:sz w:val="20"/>
          <w:szCs w:val="20"/>
          <w:u w:color="000000"/>
        </w:rPr>
      </w:pPr>
      <w:r>
        <w:rPr>
          <w:rFonts w:ascii="Arial" w:hAnsi="Arial"/>
          <w:sz w:val="20"/>
          <w:szCs w:val="20"/>
          <w:u w:color="000000"/>
          <w:lang w:val="en-US"/>
        </w:rPr>
        <w:t>A separate discretionary fund scheme for households in need who would not otherwise be eligible (bands E-H) will go live June/July and is due to conclude in Sept 2022.</w:t>
      </w:r>
    </w:p>
    <w:p w14:paraId="7B706E5D" w14:textId="77777777" w:rsidR="0060110D" w:rsidRDefault="0060110D">
      <w:pPr>
        <w:pStyle w:val="Default"/>
        <w:spacing w:before="0" w:line="240" w:lineRule="auto"/>
        <w:jc w:val="both"/>
        <w:rPr>
          <w:rFonts w:ascii="Arial" w:eastAsia="Arial" w:hAnsi="Arial" w:cs="Arial"/>
          <w:sz w:val="20"/>
          <w:szCs w:val="20"/>
          <w:u w:color="000000"/>
        </w:rPr>
      </w:pPr>
    </w:p>
    <w:p w14:paraId="2346D7D4" w14:textId="77777777" w:rsidR="0060110D" w:rsidRDefault="002C0DAF">
      <w:pPr>
        <w:pStyle w:val="Default"/>
        <w:spacing w:before="0" w:line="240" w:lineRule="auto"/>
        <w:jc w:val="both"/>
        <w:rPr>
          <w:rFonts w:ascii="Arial" w:eastAsia="Arial" w:hAnsi="Arial" w:cs="Arial"/>
          <w:sz w:val="20"/>
          <w:szCs w:val="20"/>
          <w:u w:color="000000"/>
        </w:rPr>
      </w:pPr>
      <w:r>
        <w:rPr>
          <w:rFonts w:ascii="Arial" w:hAnsi="Arial"/>
          <w:sz w:val="20"/>
          <w:szCs w:val="20"/>
          <w:u w:color="000000"/>
          <w:lang w:val="en-US"/>
        </w:rPr>
        <w:t xml:space="preserve">The discretionary COVID-19 Additional Relief Fund </w:t>
      </w:r>
      <w:r>
        <w:rPr>
          <w:rFonts w:ascii="Arial" w:hAnsi="Arial"/>
          <w:sz w:val="20"/>
          <w:szCs w:val="20"/>
          <w:u w:color="000000"/>
          <w:lang w:val="en-US"/>
        </w:rPr>
        <w:t>scheme from central government will also go live in June/July. It will be targeted at business that were excluded from the earlier grant schemes but do pay rates.</w:t>
      </w:r>
    </w:p>
    <w:p w14:paraId="6FD2A52C" w14:textId="77777777" w:rsidR="0060110D" w:rsidRDefault="0060110D">
      <w:pPr>
        <w:pStyle w:val="Default"/>
        <w:spacing w:before="0" w:line="240" w:lineRule="auto"/>
        <w:jc w:val="both"/>
        <w:rPr>
          <w:rFonts w:ascii="Arial" w:eastAsia="Arial" w:hAnsi="Arial" w:cs="Arial"/>
          <w:sz w:val="20"/>
          <w:szCs w:val="20"/>
          <w:u w:color="000000"/>
        </w:rPr>
      </w:pPr>
    </w:p>
    <w:p w14:paraId="7F177BEC" w14:textId="77777777" w:rsidR="0060110D" w:rsidRDefault="002C0DAF">
      <w:pPr>
        <w:pStyle w:val="Default"/>
        <w:spacing w:before="0" w:line="240" w:lineRule="auto"/>
        <w:jc w:val="both"/>
        <w:rPr>
          <w:rFonts w:ascii="Arial" w:eastAsia="Arial" w:hAnsi="Arial" w:cs="Arial"/>
          <w:sz w:val="20"/>
          <w:szCs w:val="20"/>
          <w:u w:color="666666"/>
        </w:rPr>
      </w:pPr>
      <w:r>
        <w:rPr>
          <w:rFonts w:ascii="Arial" w:hAnsi="Arial"/>
          <w:sz w:val="20"/>
          <w:szCs w:val="20"/>
          <w:u w:color="000000"/>
          <w:lang w:val="en-US"/>
        </w:rPr>
        <w:t xml:space="preserve">The Test and Trace isolation </w:t>
      </w:r>
      <w:r>
        <w:rPr>
          <w:rFonts w:ascii="Arial" w:hAnsi="Arial"/>
          <w:sz w:val="20"/>
          <w:szCs w:val="20"/>
          <w:u w:color="000000"/>
          <w:lang w:val="en-US"/>
        </w:rPr>
        <w:t>£</w:t>
      </w:r>
      <w:r>
        <w:rPr>
          <w:rFonts w:ascii="Arial" w:hAnsi="Arial"/>
          <w:sz w:val="20"/>
          <w:szCs w:val="20"/>
          <w:u w:color="000000"/>
          <w:lang w:val="en-US"/>
        </w:rPr>
        <w:t xml:space="preserve">500 grants has now closed. In South there were 849 successful </w:t>
      </w:r>
      <w:r>
        <w:rPr>
          <w:rFonts w:ascii="Arial" w:hAnsi="Arial"/>
          <w:sz w:val="20"/>
          <w:szCs w:val="20"/>
          <w:u w:color="000000"/>
          <w:lang w:val="en-US"/>
        </w:rPr>
        <w:t xml:space="preserve">applications - </w:t>
      </w:r>
      <w:r>
        <w:rPr>
          <w:rFonts w:ascii="Arial" w:hAnsi="Arial"/>
          <w:sz w:val="20"/>
          <w:szCs w:val="20"/>
          <w:u w:color="000000"/>
          <w:lang w:val="en-US"/>
        </w:rPr>
        <w:t>£</w:t>
      </w:r>
      <w:r>
        <w:rPr>
          <w:rFonts w:ascii="Arial" w:hAnsi="Arial"/>
          <w:sz w:val="20"/>
          <w:szCs w:val="20"/>
          <w:u w:color="000000"/>
          <w:lang w:val="en-US"/>
        </w:rPr>
        <w:t>424,500.</w:t>
      </w:r>
    </w:p>
    <w:p w14:paraId="42F9FF26" w14:textId="77777777" w:rsidR="0060110D" w:rsidRDefault="0060110D">
      <w:pPr>
        <w:pStyle w:val="Default"/>
        <w:spacing w:before="0" w:line="240" w:lineRule="auto"/>
        <w:rPr>
          <w:rFonts w:ascii="Arial" w:eastAsia="Arial" w:hAnsi="Arial" w:cs="Arial"/>
          <w:sz w:val="20"/>
          <w:szCs w:val="20"/>
          <w:u w:color="666666"/>
          <w:lang w:val="en-US"/>
        </w:rPr>
      </w:pPr>
    </w:p>
    <w:p w14:paraId="0BBE3CBC" w14:textId="77777777" w:rsidR="0060110D" w:rsidRDefault="002C0DAF">
      <w:pPr>
        <w:pStyle w:val="Default"/>
        <w:spacing w:before="0" w:line="240" w:lineRule="auto"/>
        <w:rPr>
          <w:rFonts w:ascii="Arial" w:eastAsia="Arial" w:hAnsi="Arial" w:cs="Arial"/>
          <w:b/>
          <w:bCs/>
          <w:sz w:val="20"/>
          <w:szCs w:val="20"/>
          <w:u w:color="666666"/>
          <w:lang w:val="en-US"/>
        </w:rPr>
      </w:pPr>
      <w:r>
        <w:rPr>
          <w:rFonts w:ascii="Arial" w:hAnsi="Arial"/>
          <w:b/>
          <w:bCs/>
          <w:sz w:val="20"/>
          <w:szCs w:val="20"/>
          <w:u w:color="666666"/>
          <w:lang w:val="en-US"/>
        </w:rPr>
        <w:t>Housing</w:t>
      </w:r>
    </w:p>
    <w:p w14:paraId="1C2CA94D" w14:textId="77777777" w:rsidR="0060110D" w:rsidRDefault="0060110D">
      <w:pPr>
        <w:pStyle w:val="Default"/>
        <w:spacing w:before="0" w:line="240" w:lineRule="auto"/>
        <w:rPr>
          <w:rFonts w:ascii="Arial" w:eastAsia="Arial" w:hAnsi="Arial" w:cs="Arial"/>
          <w:sz w:val="20"/>
          <w:szCs w:val="20"/>
          <w:u w:color="666666"/>
          <w:lang w:val="en-US"/>
        </w:rPr>
      </w:pPr>
    </w:p>
    <w:p w14:paraId="7867C0DE" w14:textId="77777777" w:rsidR="0060110D" w:rsidRDefault="002C0DAF">
      <w:pPr>
        <w:pStyle w:val="Default"/>
        <w:spacing w:before="0" w:line="240" w:lineRule="auto"/>
        <w:rPr>
          <w:rFonts w:ascii="Arial" w:eastAsia="Arial" w:hAnsi="Arial" w:cs="Arial"/>
          <w:sz w:val="20"/>
          <w:szCs w:val="20"/>
          <w:u w:color="666666"/>
          <w:lang w:val="en-US"/>
        </w:rPr>
      </w:pPr>
      <w:r>
        <w:rPr>
          <w:rFonts w:ascii="Arial" w:hAnsi="Arial"/>
          <w:sz w:val="20"/>
          <w:szCs w:val="20"/>
          <w:u w:color="666666"/>
          <w:lang w:val="en-US"/>
        </w:rPr>
        <w:t>Meanwhile, in May, the housing team witnessed a significant increase in demand year-on-year, with a rise in 11% of the number of residents needing intervention to prevent homelessness. The number of rough sleepers in Sout</w:t>
      </w:r>
      <w:r>
        <w:rPr>
          <w:rFonts w:ascii="Arial" w:hAnsi="Arial"/>
          <w:sz w:val="20"/>
          <w:szCs w:val="20"/>
          <w:u w:color="666666"/>
          <w:lang w:val="en-US"/>
        </w:rPr>
        <w:t xml:space="preserve">h remains very low, with one person recorded in May. This reflects the intensive work of the housing team to identify households at risk of homelessness and precent rough sleeping in the first place. </w:t>
      </w:r>
    </w:p>
    <w:p w14:paraId="3F5EF2F1" w14:textId="77777777" w:rsidR="0060110D" w:rsidRDefault="002C0DAF">
      <w:pPr>
        <w:pStyle w:val="Default"/>
        <w:spacing w:before="0" w:line="240" w:lineRule="auto"/>
        <w:rPr>
          <w:rFonts w:ascii="Arial" w:eastAsia="Arial" w:hAnsi="Arial" w:cs="Arial"/>
          <w:sz w:val="20"/>
          <w:szCs w:val="20"/>
          <w:u w:color="666666"/>
          <w:lang w:val="en-US"/>
        </w:rPr>
      </w:pPr>
      <w:r>
        <w:rPr>
          <w:rFonts w:ascii="Arial" w:hAnsi="Arial"/>
          <w:sz w:val="20"/>
          <w:szCs w:val="20"/>
          <w:u w:color="666666"/>
          <w:lang w:val="en-US"/>
        </w:rPr>
        <w:t>The council is responsible for re-housing any Ukrainian</w:t>
      </w:r>
      <w:r>
        <w:rPr>
          <w:rFonts w:ascii="Arial" w:hAnsi="Arial"/>
          <w:sz w:val="20"/>
          <w:szCs w:val="20"/>
          <w:u w:color="666666"/>
          <w:lang w:val="en-US"/>
        </w:rPr>
        <w:t xml:space="preserve"> refugees whose sponsorship arrangements fall apart for any reason, and this may be responsible for the large increase in interventions. </w:t>
      </w:r>
    </w:p>
    <w:p w14:paraId="389AEFC7" w14:textId="77777777" w:rsidR="0060110D" w:rsidRDefault="002C0DAF">
      <w:pPr>
        <w:pStyle w:val="Default"/>
        <w:spacing w:before="0" w:line="240" w:lineRule="auto"/>
        <w:rPr>
          <w:rFonts w:ascii="Arial" w:eastAsia="Arial" w:hAnsi="Arial" w:cs="Arial"/>
          <w:sz w:val="20"/>
          <w:szCs w:val="20"/>
          <w:u w:color="000000"/>
          <w:lang w:val="en-US"/>
        </w:rPr>
      </w:pPr>
      <w:r>
        <w:rPr>
          <w:rFonts w:ascii="Arial" w:eastAsia="Arial" w:hAnsi="Arial" w:cs="Arial"/>
          <w:sz w:val="20"/>
          <w:szCs w:val="20"/>
          <w:u w:color="666666"/>
          <w:lang w:val="en-US"/>
        </w:rPr>
        <w:br/>
      </w:r>
      <w:r>
        <w:rPr>
          <w:rFonts w:ascii="Arial" w:hAnsi="Arial"/>
          <w:b/>
          <w:bCs/>
          <w:sz w:val="20"/>
          <w:szCs w:val="20"/>
          <w:u w:color="666666"/>
          <w:lang w:val="en-US"/>
        </w:rPr>
        <w:t>Community Safety</w:t>
      </w:r>
    </w:p>
    <w:p w14:paraId="2AED722C" w14:textId="77777777" w:rsidR="0060110D" w:rsidRDefault="0060110D">
      <w:pPr>
        <w:pStyle w:val="Default"/>
        <w:spacing w:before="0" w:line="240" w:lineRule="auto"/>
        <w:jc w:val="both"/>
        <w:rPr>
          <w:rFonts w:ascii="Arial" w:eastAsia="Arial" w:hAnsi="Arial" w:cs="Arial"/>
          <w:sz w:val="20"/>
          <w:szCs w:val="20"/>
          <w:u w:color="000000"/>
          <w:lang w:val="en-US"/>
        </w:rPr>
      </w:pPr>
    </w:p>
    <w:p w14:paraId="7241C365" w14:textId="77777777" w:rsidR="0060110D" w:rsidRDefault="002C0DAF">
      <w:pPr>
        <w:pStyle w:val="Default"/>
        <w:spacing w:before="0" w:line="240" w:lineRule="auto"/>
        <w:jc w:val="both"/>
        <w:rPr>
          <w:rFonts w:ascii="Arial" w:eastAsia="Arial" w:hAnsi="Arial" w:cs="Arial"/>
          <w:sz w:val="20"/>
          <w:szCs w:val="20"/>
          <w:u w:color="000000"/>
        </w:rPr>
      </w:pPr>
      <w:r>
        <w:rPr>
          <w:rFonts w:ascii="Arial" w:hAnsi="Arial"/>
          <w:sz w:val="20"/>
          <w:szCs w:val="20"/>
          <w:u w:color="000000"/>
          <w:lang w:val="en-US"/>
        </w:rPr>
        <w:t xml:space="preserve">The Community Safety Partnership (which brings together public sector representatives from </w:t>
      </w:r>
      <w:proofErr w:type="gramStart"/>
      <w:r>
        <w:rPr>
          <w:rFonts w:ascii="Arial" w:hAnsi="Arial"/>
          <w:sz w:val="20"/>
          <w:szCs w:val="20"/>
          <w:u w:color="000000"/>
          <w:lang w:val="en-US"/>
        </w:rPr>
        <w:t xml:space="preserve">social  </w:t>
      </w:r>
      <w:r>
        <w:rPr>
          <w:rFonts w:ascii="Arial" w:hAnsi="Arial"/>
          <w:sz w:val="20"/>
          <w:szCs w:val="20"/>
          <w:u w:color="000000"/>
          <w:lang w:val="en-US"/>
        </w:rPr>
        <w:t>and</w:t>
      </w:r>
      <w:proofErr w:type="gramEnd"/>
      <w:r>
        <w:rPr>
          <w:rFonts w:ascii="Arial" w:hAnsi="Arial"/>
          <w:sz w:val="20"/>
          <w:szCs w:val="20"/>
          <w:u w:color="000000"/>
          <w:lang w:val="en-US"/>
        </w:rPr>
        <w:t xml:space="preserve"> health services, emergency and probation services, housing associations </w:t>
      </w:r>
      <w:proofErr w:type="spellStart"/>
      <w:r>
        <w:rPr>
          <w:rFonts w:ascii="Arial" w:hAnsi="Arial"/>
          <w:sz w:val="20"/>
          <w:szCs w:val="20"/>
          <w:u w:color="000000"/>
          <w:lang w:val="en-US"/>
        </w:rPr>
        <w:t>etc</w:t>
      </w:r>
      <w:proofErr w:type="spellEnd"/>
      <w:r>
        <w:rPr>
          <w:rFonts w:ascii="Arial" w:hAnsi="Arial"/>
          <w:sz w:val="20"/>
          <w:szCs w:val="20"/>
          <w:u w:color="000000"/>
          <w:lang w:val="en-US"/>
        </w:rPr>
        <w:t>) has agreed its priorities for the next three years. They align with the Police and Crime Commissioner</w:t>
      </w:r>
      <w:r>
        <w:rPr>
          <w:rFonts w:ascii="Arial" w:hAnsi="Arial"/>
          <w:sz w:val="20"/>
          <w:szCs w:val="20"/>
          <w:u w:color="000000"/>
          <w:lang w:val="en-US"/>
        </w:rPr>
        <w:t>’</w:t>
      </w:r>
      <w:r>
        <w:rPr>
          <w:rFonts w:ascii="Arial" w:hAnsi="Arial"/>
          <w:sz w:val="20"/>
          <w:szCs w:val="20"/>
          <w:u w:color="000000"/>
          <w:lang w:val="en-US"/>
        </w:rPr>
        <w:t xml:space="preserve">s priorities and are:  Domestic Abuse, Violence (including serious </w:t>
      </w:r>
      <w:r>
        <w:rPr>
          <w:rFonts w:ascii="Arial" w:hAnsi="Arial"/>
          <w:sz w:val="20"/>
          <w:szCs w:val="20"/>
          <w:u w:color="000000"/>
          <w:lang w:val="en-US"/>
        </w:rPr>
        <w:t xml:space="preserve">violence, violence against women and girls and knife crime, </w:t>
      </w:r>
      <w:proofErr w:type="gramStart"/>
      <w:r>
        <w:rPr>
          <w:rFonts w:ascii="Arial" w:hAnsi="Arial"/>
          <w:sz w:val="20"/>
          <w:szCs w:val="20"/>
          <w:u w:color="000000"/>
          <w:lang w:val="en-US"/>
        </w:rPr>
        <w:t>exploitation</w:t>
      </w:r>
      <w:proofErr w:type="gramEnd"/>
      <w:r>
        <w:rPr>
          <w:rFonts w:ascii="Arial" w:hAnsi="Arial"/>
          <w:sz w:val="20"/>
          <w:szCs w:val="20"/>
          <w:u w:color="000000"/>
          <w:lang w:val="en-US"/>
        </w:rPr>
        <w:t xml:space="preserve"> and rural crime.</w:t>
      </w:r>
    </w:p>
    <w:p w14:paraId="5FF1E97C" w14:textId="77777777" w:rsidR="0060110D" w:rsidRDefault="0060110D">
      <w:pPr>
        <w:pStyle w:val="Default"/>
        <w:spacing w:before="0" w:line="240" w:lineRule="auto"/>
        <w:rPr>
          <w:rFonts w:ascii="Arial" w:eastAsia="Arial" w:hAnsi="Arial" w:cs="Arial"/>
          <w:sz w:val="20"/>
          <w:szCs w:val="20"/>
        </w:rPr>
      </w:pPr>
    </w:p>
    <w:p w14:paraId="5E97142F" w14:textId="77777777" w:rsidR="0060110D" w:rsidRDefault="0060110D">
      <w:pPr>
        <w:pStyle w:val="Default"/>
        <w:spacing w:before="0" w:line="240" w:lineRule="auto"/>
        <w:rPr>
          <w:rFonts w:ascii="Arial" w:eastAsia="Arial" w:hAnsi="Arial" w:cs="Arial"/>
          <w:sz w:val="20"/>
          <w:szCs w:val="20"/>
        </w:rPr>
      </w:pPr>
    </w:p>
    <w:p w14:paraId="64EE3C9E" w14:textId="77777777" w:rsidR="0060110D" w:rsidRDefault="0060110D">
      <w:pPr>
        <w:pStyle w:val="Default"/>
        <w:spacing w:before="0" w:line="240" w:lineRule="auto"/>
        <w:rPr>
          <w:rFonts w:ascii="Arial" w:eastAsia="Arial" w:hAnsi="Arial" w:cs="Arial"/>
          <w:sz w:val="20"/>
          <w:szCs w:val="20"/>
        </w:rPr>
      </w:pPr>
    </w:p>
    <w:p w14:paraId="229868AB" w14:textId="77777777" w:rsidR="0060110D" w:rsidRDefault="0060110D">
      <w:pPr>
        <w:pStyle w:val="Default"/>
        <w:spacing w:before="0" w:line="240" w:lineRule="auto"/>
        <w:rPr>
          <w:rFonts w:ascii="Arial" w:eastAsia="Arial" w:hAnsi="Arial" w:cs="Arial"/>
          <w:sz w:val="20"/>
          <w:szCs w:val="20"/>
        </w:rPr>
      </w:pPr>
    </w:p>
    <w:p w14:paraId="4BF437D8" w14:textId="77777777" w:rsidR="0060110D" w:rsidRDefault="002C0DAF">
      <w:pPr>
        <w:pStyle w:val="Default"/>
        <w:spacing w:before="0" w:line="240" w:lineRule="auto"/>
        <w:rPr>
          <w:rFonts w:ascii="Arial" w:eastAsia="Arial" w:hAnsi="Arial" w:cs="Arial"/>
          <w:b/>
          <w:bCs/>
          <w:sz w:val="20"/>
          <w:szCs w:val="20"/>
        </w:rPr>
      </w:pPr>
      <w:r>
        <w:rPr>
          <w:rFonts w:ascii="Arial" w:hAnsi="Arial"/>
          <w:b/>
          <w:bCs/>
          <w:sz w:val="20"/>
          <w:szCs w:val="20"/>
          <w:lang w:val="en-US"/>
        </w:rPr>
        <w:t>Licensing</w:t>
      </w:r>
    </w:p>
    <w:p w14:paraId="730F3D7F" w14:textId="77777777" w:rsidR="0060110D" w:rsidRDefault="0060110D">
      <w:pPr>
        <w:pStyle w:val="Default"/>
        <w:spacing w:before="0" w:line="240" w:lineRule="auto"/>
        <w:rPr>
          <w:rFonts w:ascii="Arial" w:eastAsia="Arial" w:hAnsi="Arial" w:cs="Arial"/>
          <w:b/>
          <w:bCs/>
          <w:sz w:val="20"/>
          <w:szCs w:val="20"/>
        </w:rPr>
      </w:pPr>
    </w:p>
    <w:p w14:paraId="2AB71DC9"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 xml:space="preserve">Since April, SODC has been doing compulsory tax checks on </w:t>
      </w:r>
      <w:proofErr w:type="gramStart"/>
      <w:r>
        <w:rPr>
          <w:rFonts w:ascii="Arial" w:hAnsi="Arial"/>
          <w:sz w:val="20"/>
          <w:szCs w:val="20"/>
          <w:lang w:val="en-US"/>
        </w:rPr>
        <w:t>all  taxi</w:t>
      </w:r>
      <w:proofErr w:type="gramEnd"/>
      <w:r>
        <w:rPr>
          <w:rFonts w:ascii="Arial" w:hAnsi="Arial"/>
          <w:sz w:val="20"/>
          <w:szCs w:val="20"/>
          <w:lang w:val="en-US"/>
        </w:rPr>
        <w:t xml:space="preserve"> driver applications to ensure applicants are registered to pay tax.</w:t>
      </w:r>
    </w:p>
    <w:p w14:paraId="4DFE6A2E"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Pavement licens</w:t>
      </w:r>
      <w:r>
        <w:rPr>
          <w:rFonts w:ascii="Arial" w:hAnsi="Arial"/>
          <w:sz w:val="20"/>
          <w:szCs w:val="20"/>
          <w:lang w:val="en-US"/>
        </w:rPr>
        <w:t xml:space="preserve">es were introduced during the pandemic in 2020 to support hospitality businesses. Government has recently announced these will be made permanent and SODC is waiting for more details about the licensing process. </w:t>
      </w:r>
    </w:p>
    <w:p w14:paraId="343C4F76" w14:textId="77777777" w:rsidR="0060110D" w:rsidRDefault="0060110D">
      <w:pPr>
        <w:pStyle w:val="Default"/>
        <w:spacing w:before="0" w:line="240" w:lineRule="auto"/>
        <w:rPr>
          <w:rFonts w:ascii="Arial" w:eastAsia="Arial" w:hAnsi="Arial" w:cs="Arial"/>
          <w:sz w:val="20"/>
          <w:szCs w:val="20"/>
        </w:rPr>
      </w:pPr>
    </w:p>
    <w:p w14:paraId="08C1392A" w14:textId="77777777" w:rsidR="0060110D" w:rsidRDefault="002C0DAF">
      <w:pPr>
        <w:pStyle w:val="Default"/>
        <w:spacing w:before="0" w:line="240" w:lineRule="auto"/>
        <w:rPr>
          <w:rFonts w:ascii="Arial" w:eastAsia="Arial" w:hAnsi="Arial" w:cs="Arial"/>
          <w:b/>
          <w:bCs/>
          <w:sz w:val="20"/>
          <w:szCs w:val="20"/>
        </w:rPr>
      </w:pPr>
      <w:r>
        <w:rPr>
          <w:rFonts w:ascii="Arial" w:hAnsi="Arial"/>
          <w:b/>
          <w:bCs/>
          <w:sz w:val="20"/>
          <w:szCs w:val="20"/>
          <w:lang w:val="en-US"/>
        </w:rPr>
        <w:t>Boiler Upgrade scheme opens</w:t>
      </w:r>
    </w:p>
    <w:p w14:paraId="77BAA4D2" w14:textId="77777777" w:rsidR="0060110D" w:rsidRDefault="0060110D">
      <w:pPr>
        <w:pStyle w:val="Default"/>
        <w:spacing w:before="0" w:line="240" w:lineRule="auto"/>
        <w:rPr>
          <w:rFonts w:ascii="Arial" w:eastAsia="Arial" w:hAnsi="Arial" w:cs="Arial"/>
          <w:b/>
          <w:bCs/>
          <w:sz w:val="20"/>
          <w:szCs w:val="20"/>
        </w:rPr>
      </w:pPr>
    </w:p>
    <w:p w14:paraId="4E51FEB4"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The government</w:t>
      </w:r>
      <w:r>
        <w:rPr>
          <w:rFonts w:ascii="Arial" w:hAnsi="Arial"/>
          <w:sz w:val="20"/>
          <w:szCs w:val="20"/>
          <w:lang w:val="en-US"/>
        </w:rPr>
        <w:t xml:space="preserve"> has announced a new </w:t>
      </w:r>
      <w:r>
        <w:rPr>
          <w:rFonts w:ascii="Arial" w:hAnsi="Arial"/>
          <w:sz w:val="20"/>
          <w:szCs w:val="20"/>
          <w:lang w:val="en-US"/>
        </w:rPr>
        <w:t>£</w:t>
      </w:r>
      <w:r>
        <w:rPr>
          <w:rFonts w:ascii="Arial" w:hAnsi="Arial"/>
          <w:sz w:val="20"/>
          <w:szCs w:val="20"/>
          <w:lang w:val="en-US"/>
        </w:rPr>
        <w:t xml:space="preserve">450 million Boiler Upgrade Scheme to help improve the energy efficiency of homes, reduce energy </w:t>
      </w:r>
      <w:proofErr w:type="gramStart"/>
      <w:r>
        <w:rPr>
          <w:rFonts w:ascii="Arial" w:hAnsi="Arial"/>
          <w:sz w:val="20"/>
          <w:szCs w:val="20"/>
          <w:lang w:val="en-US"/>
        </w:rPr>
        <w:t>bills</w:t>
      </w:r>
      <w:proofErr w:type="gramEnd"/>
      <w:r>
        <w:rPr>
          <w:rFonts w:ascii="Arial" w:hAnsi="Arial"/>
          <w:sz w:val="20"/>
          <w:szCs w:val="20"/>
          <w:lang w:val="en-US"/>
        </w:rPr>
        <w:t xml:space="preserve"> and cut emissions in the long-term. The scheme is now open for people to apply for the following support when replacing their oil or</w:t>
      </w:r>
      <w:r>
        <w:rPr>
          <w:rFonts w:ascii="Arial" w:hAnsi="Arial"/>
          <w:sz w:val="20"/>
          <w:szCs w:val="20"/>
          <w:lang w:val="en-US"/>
        </w:rPr>
        <w:t xml:space="preserve"> gas boilers: </w:t>
      </w:r>
    </w:p>
    <w:p w14:paraId="3AA52751"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w:t>
      </w:r>
      <w:r>
        <w:rPr>
          <w:rFonts w:ascii="Arial" w:hAnsi="Arial"/>
          <w:sz w:val="20"/>
          <w:szCs w:val="20"/>
          <w:lang w:val="en-US"/>
        </w:rPr>
        <w:t>5,000 off the cost and installation of an air source heat pump</w:t>
      </w:r>
    </w:p>
    <w:p w14:paraId="6CE225CA"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w:t>
      </w:r>
      <w:r>
        <w:rPr>
          <w:rFonts w:ascii="Arial" w:hAnsi="Arial"/>
          <w:sz w:val="20"/>
          <w:szCs w:val="20"/>
          <w:lang w:val="en-US"/>
        </w:rPr>
        <w:t>5,000 off the cost and installation of a biomass boiler</w:t>
      </w:r>
    </w:p>
    <w:p w14:paraId="3AD0AEA5" w14:textId="77777777" w:rsidR="0060110D" w:rsidRDefault="002C0DAF">
      <w:pPr>
        <w:pStyle w:val="Default"/>
        <w:spacing w:before="0" w:line="240" w:lineRule="auto"/>
        <w:rPr>
          <w:rFonts w:ascii="Arial" w:eastAsia="Arial" w:hAnsi="Arial" w:cs="Arial"/>
          <w:sz w:val="20"/>
          <w:szCs w:val="20"/>
        </w:rPr>
      </w:pPr>
      <w:r>
        <w:rPr>
          <w:rFonts w:ascii="Arial" w:hAnsi="Arial"/>
          <w:sz w:val="20"/>
          <w:szCs w:val="20"/>
          <w:lang w:val="en-US"/>
        </w:rPr>
        <w:t>£</w:t>
      </w:r>
      <w:r>
        <w:rPr>
          <w:rFonts w:ascii="Arial" w:hAnsi="Arial"/>
          <w:sz w:val="20"/>
          <w:szCs w:val="20"/>
          <w:lang w:val="en-US"/>
        </w:rPr>
        <w:t>6,000 off the cost and installation of a ground source heat pump.</w:t>
      </w:r>
    </w:p>
    <w:p w14:paraId="72C8B7F2" w14:textId="77777777" w:rsidR="0060110D" w:rsidRDefault="002C0DAF">
      <w:pPr>
        <w:pStyle w:val="Default"/>
        <w:spacing w:before="0" w:line="240" w:lineRule="auto"/>
        <w:rPr>
          <w:rFonts w:ascii="Arial" w:eastAsia="Arial" w:hAnsi="Arial" w:cs="Arial"/>
          <w:color w:val="666666"/>
          <w:sz w:val="21"/>
          <w:szCs w:val="21"/>
          <w:u w:color="666666"/>
        </w:rPr>
      </w:pPr>
      <w:r>
        <w:rPr>
          <w:rFonts w:ascii="Arial" w:hAnsi="Arial"/>
          <w:sz w:val="20"/>
          <w:szCs w:val="20"/>
          <w:lang w:val="en-US"/>
        </w:rPr>
        <w:t xml:space="preserve">You can find out more about the scheme via  </w:t>
      </w:r>
      <w:hyperlink r:id="rId6" w:history="1">
        <w:r>
          <w:rPr>
            <w:rStyle w:val="Hyperlink0"/>
            <w:rFonts w:ascii="Arial" w:hAnsi="Arial"/>
            <w:lang w:val="en-US"/>
          </w:rPr>
          <w:t>the government</w:t>
        </w:r>
        <w:r>
          <w:rPr>
            <w:rStyle w:val="Hyperlink0"/>
            <w:rFonts w:ascii="Arial" w:hAnsi="Arial"/>
            <w:rtl/>
          </w:rPr>
          <w:t>’</w:t>
        </w:r>
        <w:r>
          <w:rPr>
            <w:rStyle w:val="Hyperlink0"/>
            <w:rFonts w:ascii="Arial" w:hAnsi="Arial"/>
            <w:lang w:val="nl-NL"/>
          </w:rPr>
          <w:t>s website</w:t>
        </w:r>
      </w:hyperlink>
    </w:p>
    <w:p w14:paraId="1945AE1C" w14:textId="77777777" w:rsidR="0060110D" w:rsidRDefault="0060110D">
      <w:pPr>
        <w:pStyle w:val="Default"/>
        <w:spacing w:before="0" w:line="240" w:lineRule="auto"/>
        <w:rPr>
          <w:rFonts w:ascii="Arial" w:eastAsia="Arial" w:hAnsi="Arial" w:cs="Arial"/>
          <w:color w:val="666666"/>
          <w:sz w:val="21"/>
          <w:szCs w:val="21"/>
          <w:u w:color="666666"/>
        </w:rPr>
      </w:pPr>
    </w:p>
    <w:p w14:paraId="213530EE" w14:textId="77777777" w:rsidR="0060110D" w:rsidRDefault="0060110D">
      <w:pPr>
        <w:pStyle w:val="Default"/>
        <w:spacing w:before="0" w:line="240" w:lineRule="auto"/>
        <w:rPr>
          <w:rFonts w:ascii="Arial" w:eastAsia="Arial" w:hAnsi="Arial" w:cs="Arial"/>
          <w:color w:val="666666"/>
          <w:sz w:val="21"/>
          <w:szCs w:val="21"/>
          <w:u w:color="666666"/>
        </w:rPr>
      </w:pPr>
    </w:p>
    <w:p w14:paraId="10A2DC40" w14:textId="77777777" w:rsidR="0060110D" w:rsidRDefault="0060110D">
      <w:pPr>
        <w:pStyle w:val="Default"/>
        <w:spacing w:before="0" w:line="240" w:lineRule="auto"/>
        <w:rPr>
          <w:rFonts w:ascii="Arial" w:eastAsia="Arial" w:hAnsi="Arial" w:cs="Arial"/>
          <w:color w:val="666666"/>
          <w:sz w:val="21"/>
          <w:szCs w:val="21"/>
          <w:u w:color="666666"/>
        </w:rPr>
      </w:pPr>
    </w:p>
    <w:p w14:paraId="52E84928" w14:textId="77777777" w:rsidR="0060110D" w:rsidRDefault="0060110D">
      <w:pPr>
        <w:pStyle w:val="Default"/>
        <w:spacing w:before="0" w:line="240" w:lineRule="auto"/>
        <w:rPr>
          <w:rFonts w:ascii="Arial" w:eastAsia="Arial" w:hAnsi="Arial" w:cs="Arial"/>
          <w:color w:val="666666"/>
          <w:sz w:val="21"/>
          <w:szCs w:val="21"/>
          <w:u w:color="666666"/>
        </w:rPr>
      </w:pPr>
    </w:p>
    <w:p w14:paraId="344B6F6E" w14:textId="77777777" w:rsidR="0060110D" w:rsidRDefault="0060110D">
      <w:pPr>
        <w:pStyle w:val="Default"/>
        <w:spacing w:before="0" w:line="240" w:lineRule="auto"/>
        <w:rPr>
          <w:rFonts w:ascii="Arial" w:eastAsia="Arial" w:hAnsi="Arial" w:cs="Arial"/>
          <w:color w:val="666666"/>
          <w:sz w:val="21"/>
          <w:szCs w:val="21"/>
          <w:u w:color="666666"/>
        </w:rPr>
      </w:pPr>
    </w:p>
    <w:p w14:paraId="4CFE9804" w14:textId="77777777" w:rsidR="0060110D" w:rsidRDefault="0060110D">
      <w:pPr>
        <w:pStyle w:val="Default"/>
        <w:spacing w:before="0" w:line="240" w:lineRule="auto"/>
        <w:rPr>
          <w:rFonts w:ascii="Arial" w:eastAsia="Arial" w:hAnsi="Arial" w:cs="Arial"/>
          <w:color w:val="666666"/>
          <w:sz w:val="21"/>
          <w:szCs w:val="21"/>
          <w:u w:color="666666"/>
        </w:rPr>
      </w:pPr>
    </w:p>
    <w:p w14:paraId="5E1AAF1D" w14:textId="77777777" w:rsidR="0060110D" w:rsidRDefault="0060110D">
      <w:pPr>
        <w:pStyle w:val="Default"/>
        <w:spacing w:before="0" w:line="240" w:lineRule="auto"/>
        <w:rPr>
          <w:rFonts w:ascii="Arial" w:eastAsia="Arial" w:hAnsi="Arial" w:cs="Arial"/>
          <w:color w:val="666666"/>
          <w:sz w:val="21"/>
          <w:szCs w:val="21"/>
          <w:u w:color="666666"/>
        </w:rPr>
      </w:pPr>
    </w:p>
    <w:p w14:paraId="40BCC753" w14:textId="77777777" w:rsidR="0060110D" w:rsidRDefault="0060110D">
      <w:pPr>
        <w:pStyle w:val="Default"/>
        <w:spacing w:before="0" w:line="240" w:lineRule="auto"/>
        <w:rPr>
          <w:rFonts w:ascii="Arial" w:eastAsia="Arial" w:hAnsi="Arial" w:cs="Arial"/>
          <w:color w:val="666666"/>
          <w:sz w:val="21"/>
          <w:szCs w:val="21"/>
          <w:u w:color="666666"/>
        </w:rPr>
      </w:pPr>
    </w:p>
    <w:p w14:paraId="25378230" w14:textId="77777777" w:rsidR="0060110D" w:rsidRDefault="0060110D">
      <w:pPr>
        <w:pStyle w:val="Default"/>
        <w:spacing w:before="0" w:line="240" w:lineRule="auto"/>
        <w:rPr>
          <w:rFonts w:ascii="Arial" w:eastAsia="Arial" w:hAnsi="Arial" w:cs="Arial"/>
          <w:color w:val="666666"/>
          <w:sz w:val="21"/>
          <w:szCs w:val="21"/>
          <w:u w:color="666666"/>
        </w:rPr>
      </w:pPr>
    </w:p>
    <w:p w14:paraId="5D8A2668" w14:textId="77777777" w:rsidR="0060110D" w:rsidRDefault="0060110D">
      <w:pPr>
        <w:pStyle w:val="Default"/>
        <w:spacing w:before="0" w:line="240" w:lineRule="auto"/>
        <w:rPr>
          <w:rFonts w:ascii="Arial" w:eastAsia="Arial" w:hAnsi="Arial" w:cs="Arial"/>
          <w:color w:val="666666"/>
          <w:sz w:val="21"/>
          <w:szCs w:val="21"/>
          <w:u w:color="666666"/>
        </w:rPr>
      </w:pPr>
    </w:p>
    <w:p w14:paraId="17F03BC0" w14:textId="77777777" w:rsidR="0060110D" w:rsidRDefault="0060110D">
      <w:pPr>
        <w:pStyle w:val="Default"/>
        <w:spacing w:before="0" w:line="240" w:lineRule="auto"/>
        <w:rPr>
          <w:rFonts w:ascii="Arial" w:eastAsia="Arial" w:hAnsi="Arial" w:cs="Arial"/>
          <w:color w:val="666666"/>
          <w:sz w:val="21"/>
          <w:szCs w:val="21"/>
          <w:u w:color="666666"/>
        </w:rPr>
      </w:pPr>
    </w:p>
    <w:p w14:paraId="7630F1AA" w14:textId="77777777" w:rsidR="0060110D" w:rsidRDefault="0060110D">
      <w:pPr>
        <w:pStyle w:val="Default"/>
        <w:spacing w:before="0" w:line="240" w:lineRule="auto"/>
        <w:rPr>
          <w:rFonts w:ascii="Arial" w:eastAsia="Arial" w:hAnsi="Arial" w:cs="Arial"/>
          <w:color w:val="666666"/>
          <w:sz w:val="21"/>
          <w:szCs w:val="21"/>
          <w:u w:color="666666"/>
        </w:rPr>
      </w:pPr>
    </w:p>
    <w:p w14:paraId="4EB3FA72" w14:textId="77777777" w:rsidR="0060110D" w:rsidRDefault="0060110D">
      <w:pPr>
        <w:pStyle w:val="Default"/>
        <w:spacing w:before="0" w:line="240" w:lineRule="auto"/>
        <w:rPr>
          <w:rFonts w:ascii="Arial" w:eastAsia="Arial" w:hAnsi="Arial" w:cs="Arial"/>
          <w:color w:val="666666"/>
          <w:sz w:val="21"/>
          <w:szCs w:val="21"/>
          <w:u w:color="666666"/>
        </w:rPr>
      </w:pPr>
    </w:p>
    <w:tbl>
      <w:tblPr>
        <w:tblW w:w="92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39"/>
        <w:gridCol w:w="655"/>
      </w:tblGrid>
      <w:tr w:rsidR="0060110D" w14:paraId="19EC8E49" w14:textId="77777777">
        <w:trPr>
          <w:gridAfter w:val="1"/>
          <w:wAfter w:w="706" w:type="dxa"/>
          <w:trHeight w:val="279"/>
        </w:trPr>
        <w:tc>
          <w:tcPr>
            <w:tcW w:w="9294"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14:paraId="699BD2A2" w14:textId="77777777" w:rsidR="0060110D" w:rsidRDefault="0060110D"/>
        </w:tc>
      </w:tr>
      <w:tr w:rsidR="0060110D" w14:paraId="66EE78E9" w14:textId="77777777">
        <w:trPr>
          <w:trHeight w:val="400"/>
        </w:trPr>
        <w:tc>
          <w:tcPr>
            <w:tcW w:w="100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14:paraId="231B3C8C" w14:textId="77777777" w:rsidR="0060110D" w:rsidRDefault="0060110D"/>
        </w:tc>
      </w:tr>
    </w:tbl>
    <w:p w14:paraId="65A1695F" w14:textId="77777777" w:rsidR="0060110D" w:rsidRDefault="0060110D">
      <w:pPr>
        <w:pStyle w:val="Default"/>
        <w:spacing w:before="0" w:line="240" w:lineRule="auto"/>
        <w:jc w:val="both"/>
      </w:pPr>
    </w:p>
    <w:sectPr w:rsidR="0060110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BD8F" w14:textId="77777777" w:rsidR="002C0DAF" w:rsidRDefault="002C0DAF">
      <w:r>
        <w:separator/>
      </w:r>
    </w:p>
  </w:endnote>
  <w:endnote w:type="continuationSeparator" w:id="0">
    <w:p w14:paraId="54303348" w14:textId="77777777" w:rsidR="002C0DAF" w:rsidRDefault="002C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2DA4" w14:textId="77777777" w:rsidR="0060110D" w:rsidRDefault="00601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CE0E" w14:textId="77777777" w:rsidR="002C0DAF" w:rsidRDefault="002C0DAF">
      <w:r>
        <w:separator/>
      </w:r>
    </w:p>
  </w:footnote>
  <w:footnote w:type="continuationSeparator" w:id="0">
    <w:p w14:paraId="3E5F73E2" w14:textId="77777777" w:rsidR="002C0DAF" w:rsidRDefault="002C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F26" w14:textId="77777777" w:rsidR="0060110D" w:rsidRDefault="006011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0D"/>
    <w:rsid w:val="002C0DAF"/>
    <w:rsid w:val="004744AC"/>
    <w:rsid w:val="00601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419C"/>
  <w15:docId w15:val="{F02B46F9-340F-4AB0-8CBB-41AB8660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bCs/>
      <w:outline w:val="0"/>
      <w:color w:val="E30B5C"/>
      <w:sz w:val="21"/>
      <w:szCs w:val="21"/>
      <w:u w:val="single" w:color="E30B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check-if-you-may-be-eligible-for-the-boiler-upgrade-scheme-from-april-20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GMPC</dc:creator>
  <cp:lastModifiedBy>Timothy Darch</cp:lastModifiedBy>
  <cp:revision>2</cp:revision>
  <dcterms:created xsi:type="dcterms:W3CDTF">2022-06-26T19:22:00Z</dcterms:created>
  <dcterms:modified xsi:type="dcterms:W3CDTF">2022-06-26T19:22:00Z</dcterms:modified>
</cp:coreProperties>
</file>